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BF" w:rsidRDefault="0015219D" w:rsidP="0015219D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45.75pt;height:80.25pt">
            <v:imagedata r:id="rId4" o:title="LC-Childcare-Header"/>
          </v:shape>
        </w:pict>
      </w:r>
    </w:p>
    <w:p w:rsidR="00F96D76" w:rsidRPr="00E465B8" w:rsidRDefault="00F96D76" w:rsidP="00E465B8">
      <w:pPr>
        <w:pStyle w:val="Heading1"/>
        <w:jc w:val="center"/>
        <w:rPr>
          <w:rFonts w:ascii="Calibri" w:hAnsi="Calibri" w:cs="Calibri"/>
          <w:szCs w:val="24"/>
        </w:rPr>
      </w:pPr>
      <w:bookmarkStart w:id="0" w:name="_GoBack"/>
      <w:bookmarkEnd w:id="0"/>
      <w:r w:rsidRPr="00E465B8">
        <w:rPr>
          <w:rFonts w:asciiTheme="minorHAnsi" w:eastAsiaTheme="minorHAnsi" w:hAnsiTheme="minorHAnsi" w:cstheme="minorBidi"/>
          <w:bCs w:val="0"/>
          <w:color w:val="auto"/>
          <w:szCs w:val="24"/>
        </w:rPr>
        <w:t>Request Budget</w:t>
      </w:r>
    </w:p>
    <w:p w:rsidR="00E465B8" w:rsidRDefault="00F96D76" w:rsidP="00F96D76">
      <w:pPr>
        <w:rPr>
          <w:rFonts w:ascii="Calibri" w:hAnsi="Calibri" w:cs="Calibri"/>
          <w:color w:val="000000" w:themeColor="text1" w:themeShade="80"/>
          <w:sz w:val="20"/>
          <w:szCs w:val="20"/>
        </w:rPr>
      </w:pPr>
      <w:r w:rsidRPr="00F96D76">
        <w:rPr>
          <w:rFonts w:ascii="Calibri" w:hAnsi="Calibri" w:cs="Calibri"/>
          <w:color w:val="000000" w:themeColor="text1" w:themeShade="80"/>
          <w:sz w:val="20"/>
          <w:szCs w:val="20"/>
        </w:rPr>
        <w:t xml:space="preserve">Please be as specific as you can. </w:t>
      </w:r>
    </w:p>
    <w:p w:rsidR="00F96D76" w:rsidRPr="00F96D76" w:rsidRDefault="00F96D76" w:rsidP="00F96D76">
      <w:pPr>
        <w:rPr>
          <w:rFonts w:ascii="Calibri" w:hAnsi="Calibri" w:cs="Calibri"/>
          <w:color w:val="000000" w:themeColor="text1" w:themeShade="80"/>
          <w:sz w:val="20"/>
          <w:szCs w:val="20"/>
        </w:rPr>
      </w:pPr>
      <w:r w:rsidRPr="00F96D76">
        <w:rPr>
          <w:rFonts w:ascii="Calibri" w:hAnsi="Calibri" w:cs="Calibri"/>
          <w:color w:val="000000" w:themeColor="text1" w:themeShade="80"/>
          <w:sz w:val="20"/>
          <w:szCs w:val="20"/>
        </w:rPr>
        <w:t xml:space="preserve">Be sure to include all the financial items you are requesting reimbursement </w:t>
      </w:r>
      <w:r w:rsidR="00E465B8">
        <w:rPr>
          <w:rFonts w:ascii="Calibri" w:hAnsi="Calibri" w:cs="Calibri"/>
          <w:color w:val="000000" w:themeColor="text1" w:themeShade="80"/>
          <w:sz w:val="20"/>
          <w:szCs w:val="20"/>
        </w:rPr>
        <w:t xml:space="preserve">for, and please ensure </w:t>
      </w:r>
      <w:r w:rsidRPr="00F96D76">
        <w:rPr>
          <w:rFonts w:ascii="Calibri" w:hAnsi="Calibri" w:cs="Calibri"/>
          <w:color w:val="000000" w:themeColor="text1" w:themeShade="80"/>
          <w:sz w:val="20"/>
          <w:szCs w:val="20"/>
        </w:rPr>
        <w:t xml:space="preserve">that the costs are totaled correctly. </w:t>
      </w:r>
    </w:p>
    <w:p w:rsidR="00A876DE" w:rsidRPr="00F96D76" w:rsidRDefault="00F96D76" w:rsidP="00F96D76">
      <w:pPr>
        <w:rPr>
          <w:rFonts w:ascii="Calibri" w:hAnsi="Calibri" w:cs="Calibri"/>
          <w:color w:val="000000" w:themeColor="text1" w:themeShade="80"/>
          <w:sz w:val="20"/>
          <w:szCs w:val="20"/>
        </w:rPr>
      </w:pPr>
      <w:r w:rsidRPr="00F96D76">
        <w:rPr>
          <w:rFonts w:ascii="Calibri" w:hAnsi="Calibri" w:cs="Calibri"/>
          <w:color w:val="000000" w:themeColor="text1" w:themeShade="80"/>
          <w:sz w:val="20"/>
          <w:szCs w:val="20"/>
        </w:rPr>
        <w:t xml:space="preserve">Only bills/payments due for activities since </w:t>
      </w:r>
      <w:r w:rsidR="00E465B8">
        <w:rPr>
          <w:rFonts w:ascii="Calibri" w:hAnsi="Calibri" w:cs="Calibri"/>
          <w:color w:val="000000" w:themeColor="text1" w:themeShade="80"/>
          <w:sz w:val="20"/>
          <w:szCs w:val="20"/>
        </w:rPr>
        <w:t>August 1st</w:t>
      </w:r>
      <w:r w:rsidRPr="00F96D76">
        <w:rPr>
          <w:rFonts w:ascii="Calibri" w:hAnsi="Calibri" w:cs="Calibri"/>
          <w:color w:val="000000" w:themeColor="text1" w:themeShade="80"/>
          <w:sz w:val="20"/>
          <w:szCs w:val="20"/>
        </w:rPr>
        <w:t>, 2020 may be submitted. Invoices or receipts paid – OR – official estimates of expenses (i.e. quote) must be submitted along with the application in order to document requests.</w:t>
      </w:r>
      <w:r w:rsidR="00E465B8">
        <w:rPr>
          <w:rFonts w:ascii="Calibri" w:hAnsi="Calibri" w:cs="Calibri"/>
          <w:color w:val="000000" w:themeColor="text1" w:themeShade="80"/>
          <w:sz w:val="20"/>
          <w:szCs w:val="20"/>
        </w:rPr>
        <w:t xml:space="preserve">  Please do not submit any </w:t>
      </w:r>
      <w:r w:rsidRPr="00F96D76">
        <w:rPr>
          <w:rFonts w:ascii="Calibri" w:hAnsi="Calibri" w:cs="Calibri"/>
          <w:color w:val="000000" w:themeColor="text1" w:themeShade="80"/>
          <w:sz w:val="20"/>
          <w:szCs w:val="20"/>
        </w:rPr>
        <w:t>personal or private business information (i.e. social security numbers).</w:t>
      </w:r>
    </w:p>
    <w:tbl>
      <w:tblPr>
        <w:tblStyle w:val="ListTable2-Accent2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466"/>
        <w:gridCol w:w="2864"/>
      </w:tblGrid>
      <w:tr w:rsidR="00A876DE" w:rsidRPr="00F96D76" w:rsidTr="00A87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pct"/>
            <w:tcBorders>
              <w:bottom w:val="single" w:sz="12" w:space="0" w:color="BFBFBF" w:themeColor="background1" w:themeShade="BF"/>
            </w:tcBorders>
            <w:shd w:val="clear" w:color="auto" w:fill="D9D9D9" w:themeFill="background1" w:themeFillShade="D9"/>
            <w:noWrap/>
            <w:hideMark/>
          </w:tcPr>
          <w:p w:rsidR="00F96D76" w:rsidRPr="00A876DE" w:rsidRDefault="00F96D76" w:rsidP="00950303">
            <w:pPr>
              <w:rPr>
                <w:rFonts w:ascii="Calibri" w:hAnsi="Calibri" w:cs="Calibri"/>
                <w:sz w:val="20"/>
                <w:szCs w:val="20"/>
              </w:rPr>
            </w:pPr>
            <w:r w:rsidRPr="00A876DE">
              <w:rPr>
                <w:rFonts w:ascii="Calibri" w:hAnsi="Calibri" w:cs="Calibri"/>
                <w:sz w:val="20"/>
                <w:szCs w:val="20"/>
              </w:rPr>
              <w:t>Budget Items</w:t>
            </w:r>
            <w:r w:rsidR="00E465B8" w:rsidRPr="00A876DE">
              <w:rPr>
                <w:rFonts w:ascii="Calibri" w:hAnsi="Calibri" w:cs="Calibri"/>
                <w:sz w:val="20"/>
                <w:szCs w:val="20"/>
              </w:rPr>
              <w:t xml:space="preserve"> &amp; Justification</w:t>
            </w:r>
          </w:p>
        </w:tc>
        <w:tc>
          <w:tcPr>
            <w:tcW w:w="1535" w:type="pct"/>
            <w:tcBorders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F96D76" w:rsidRPr="00A876DE" w:rsidRDefault="00F96D76" w:rsidP="00E465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A876DE">
              <w:rPr>
                <w:rFonts w:ascii="Calibri" w:hAnsi="Calibri" w:cs="Calibri"/>
                <w:sz w:val="20"/>
                <w:szCs w:val="20"/>
              </w:rPr>
              <w:t xml:space="preserve">Total Cost </w:t>
            </w:r>
            <w:r w:rsidRPr="00A876DE">
              <w:rPr>
                <w:rFonts w:ascii="Calibri" w:hAnsi="Calibri" w:cs="Calibri"/>
                <w:sz w:val="20"/>
                <w:szCs w:val="20"/>
              </w:rPr>
              <w:br/>
              <w:t>(Round to even dollar am</w:t>
            </w:r>
            <w:r w:rsidR="00E465B8" w:rsidRPr="00A876DE">
              <w:rPr>
                <w:rFonts w:ascii="Calibri" w:hAnsi="Calibri" w:cs="Calibri"/>
                <w:sz w:val="20"/>
                <w:szCs w:val="20"/>
              </w:rPr>
              <w:t>oun</w:t>
            </w:r>
            <w:r w:rsidRPr="00A876DE">
              <w:rPr>
                <w:rFonts w:ascii="Calibri" w:hAnsi="Calibri" w:cs="Calibri"/>
                <w:sz w:val="20"/>
                <w:szCs w:val="20"/>
              </w:rPr>
              <w:t>t)</w:t>
            </w:r>
          </w:p>
        </w:tc>
      </w:tr>
      <w:tr w:rsidR="00A876DE" w:rsidRPr="00F96D76" w:rsidTr="00DF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pct"/>
            <w:tcBorders>
              <w:bottom w:val="single" w:sz="12" w:space="0" w:color="BFBFBF" w:themeColor="background1" w:themeShade="BF"/>
            </w:tcBorders>
            <w:shd w:val="clear" w:color="auto" w:fill="FFFFFF" w:themeFill="background1"/>
            <w:noWrap/>
          </w:tcPr>
          <w:p w:rsidR="00A876DE" w:rsidRPr="00A876DE" w:rsidRDefault="00A876DE" w:rsidP="00A876DE">
            <w:pPr>
              <w:rPr>
                <w:rFonts w:ascii="Calibri" w:hAnsi="Calibri" w:cs="Calibri"/>
                <w:b w:val="0"/>
                <w:i/>
                <w:color w:val="808080" w:themeColor="background1" w:themeShade="80"/>
                <w:sz w:val="20"/>
                <w:szCs w:val="20"/>
              </w:rPr>
            </w:pPr>
            <w:r w:rsidRPr="00A876DE">
              <w:rPr>
                <w:rFonts w:ascii="Calibri" w:hAnsi="Calibri" w:cs="Calibri"/>
                <w:b w:val="0"/>
                <w:i/>
                <w:color w:val="808080" w:themeColor="background1" w:themeShade="80"/>
                <w:sz w:val="20"/>
                <w:szCs w:val="20"/>
              </w:rPr>
              <w:t>Example</w:t>
            </w:r>
            <w:r w:rsidR="00F23A2B">
              <w:rPr>
                <w:rFonts w:ascii="Calibri" w:hAnsi="Calibri" w:cs="Calibri"/>
                <w:b w:val="0"/>
                <w:i/>
                <w:color w:val="808080" w:themeColor="background1" w:themeShade="80"/>
                <w:sz w:val="20"/>
                <w:szCs w:val="20"/>
              </w:rPr>
              <w:t xml:space="preserve"> 1</w:t>
            </w:r>
            <w:r w:rsidRPr="00A876DE">
              <w:rPr>
                <w:rFonts w:ascii="Calibri" w:hAnsi="Calibri" w:cs="Calibri"/>
                <w:b w:val="0"/>
                <w:i/>
                <w:color w:val="808080" w:themeColor="background1" w:themeShade="80"/>
                <w:sz w:val="20"/>
                <w:szCs w:val="20"/>
              </w:rPr>
              <w:t xml:space="preserve">: Personnel Cost (GLQ Teacher) – 200 </w:t>
            </w:r>
            <w:proofErr w:type="spellStart"/>
            <w:r w:rsidRPr="00A876DE">
              <w:rPr>
                <w:rFonts w:ascii="Calibri" w:hAnsi="Calibri" w:cs="Calibri"/>
                <w:b w:val="0"/>
                <w:i/>
                <w:color w:val="808080" w:themeColor="background1" w:themeShade="80"/>
                <w:sz w:val="20"/>
                <w:szCs w:val="20"/>
              </w:rPr>
              <w:t>hrs</w:t>
            </w:r>
            <w:proofErr w:type="spellEnd"/>
            <w:r w:rsidRPr="00A876DE">
              <w:rPr>
                <w:rFonts w:ascii="Calibri" w:hAnsi="Calibri" w:cs="Calibri"/>
                <w:b w:val="0"/>
                <w:i/>
                <w:color w:val="808080" w:themeColor="background1" w:themeShade="80"/>
                <w:sz w:val="20"/>
                <w:szCs w:val="20"/>
              </w:rPr>
              <w:t xml:space="preserve"> from August 1</w:t>
            </w:r>
            <w:r w:rsidRPr="00A876DE">
              <w:rPr>
                <w:rFonts w:ascii="Calibri" w:hAnsi="Calibri" w:cs="Calibri"/>
                <w:b w:val="0"/>
                <w:i/>
                <w:color w:val="808080" w:themeColor="background1" w:themeShade="80"/>
                <w:sz w:val="20"/>
                <w:szCs w:val="20"/>
                <w:vertAlign w:val="superscript"/>
              </w:rPr>
              <w:t>st</w:t>
            </w:r>
            <w:r w:rsidRPr="00A876DE">
              <w:rPr>
                <w:rFonts w:ascii="Calibri" w:hAnsi="Calibri" w:cs="Calibri"/>
                <w:b w:val="0"/>
                <w:i/>
                <w:color w:val="808080" w:themeColor="background1" w:themeShade="80"/>
                <w:sz w:val="20"/>
                <w:szCs w:val="20"/>
              </w:rPr>
              <w:t xml:space="preserve"> – December 30</w:t>
            </w:r>
            <w:r w:rsidRPr="00A876DE">
              <w:rPr>
                <w:rFonts w:ascii="Calibri" w:hAnsi="Calibri" w:cs="Calibri"/>
                <w:b w:val="0"/>
                <w:i/>
                <w:color w:val="808080" w:themeColor="background1" w:themeShade="80"/>
                <w:sz w:val="20"/>
                <w:szCs w:val="20"/>
                <w:vertAlign w:val="superscript"/>
              </w:rPr>
              <w:t>th</w:t>
            </w:r>
            <w:r w:rsidRPr="00A876DE">
              <w:rPr>
                <w:rFonts w:ascii="Calibri" w:hAnsi="Calibri" w:cs="Calibri"/>
                <w:b w:val="0"/>
                <w:i/>
                <w:color w:val="808080" w:themeColor="background1" w:themeShade="80"/>
                <w:sz w:val="20"/>
                <w:szCs w:val="20"/>
              </w:rPr>
              <w:t xml:space="preserve"> to accommodate ratio changes related to COVID @ $14/</w:t>
            </w:r>
            <w:proofErr w:type="spellStart"/>
            <w:r w:rsidRPr="00A876DE">
              <w:rPr>
                <w:rFonts w:ascii="Calibri" w:hAnsi="Calibri" w:cs="Calibri"/>
                <w:b w:val="0"/>
                <w:i/>
                <w:color w:val="808080" w:themeColor="background1" w:themeShade="80"/>
                <w:sz w:val="20"/>
                <w:szCs w:val="20"/>
              </w:rPr>
              <w:t>hr</w:t>
            </w:r>
            <w:proofErr w:type="spellEnd"/>
            <w:r w:rsidRPr="00A876DE">
              <w:rPr>
                <w:rFonts w:ascii="Calibri" w:hAnsi="Calibri" w:cs="Calibri"/>
                <w:b w:val="0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1535" w:type="pct"/>
            <w:tcBorders>
              <w:bottom w:val="single" w:sz="12" w:space="0" w:color="BFBFBF" w:themeColor="background1" w:themeShade="BF"/>
            </w:tcBorders>
            <w:shd w:val="clear" w:color="auto" w:fill="FFFFFF" w:themeFill="background1"/>
          </w:tcPr>
          <w:p w:rsidR="00A876DE" w:rsidRPr="00A876DE" w:rsidRDefault="00A876DE" w:rsidP="00E4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0"/>
                <w:szCs w:val="20"/>
              </w:rPr>
            </w:pPr>
            <w:r w:rsidRPr="00A876DE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$</w:t>
            </w:r>
            <w:r w:rsidR="00DF7F1E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 xml:space="preserve"> 2,800.00</w:t>
            </w:r>
          </w:p>
        </w:tc>
      </w:tr>
      <w:tr w:rsidR="00F23A2B" w:rsidRPr="00F96D76" w:rsidTr="00DF7F1E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pct"/>
            <w:tcBorders>
              <w:bottom w:val="single" w:sz="12" w:space="0" w:color="BFBFBF" w:themeColor="background1" w:themeShade="BF"/>
            </w:tcBorders>
            <w:shd w:val="clear" w:color="auto" w:fill="D9D9D9" w:themeFill="background1" w:themeFillShade="D9"/>
            <w:noWrap/>
          </w:tcPr>
          <w:p w:rsidR="00F23A2B" w:rsidRPr="00A876DE" w:rsidRDefault="00F23A2B" w:rsidP="00F23A2B">
            <w:pPr>
              <w:rPr>
                <w:rFonts w:ascii="Calibri" w:hAnsi="Calibri" w:cs="Calibri"/>
                <w:b w:val="0"/>
                <w:i/>
                <w:color w:val="808080" w:themeColor="background1" w:themeShade="80"/>
                <w:sz w:val="20"/>
                <w:szCs w:val="20"/>
              </w:rPr>
            </w:pPr>
            <w:r w:rsidRPr="00A876DE">
              <w:rPr>
                <w:rFonts w:ascii="Calibri" w:hAnsi="Calibri" w:cs="Calibri"/>
                <w:b w:val="0"/>
                <w:i/>
                <w:color w:val="808080" w:themeColor="background1" w:themeShade="80"/>
                <w:sz w:val="20"/>
                <w:szCs w:val="20"/>
              </w:rPr>
              <w:t>Example</w:t>
            </w:r>
            <w:r>
              <w:rPr>
                <w:rFonts w:ascii="Calibri" w:hAnsi="Calibri" w:cs="Calibri"/>
                <w:b w:val="0"/>
                <w:i/>
                <w:color w:val="808080" w:themeColor="background1" w:themeShade="80"/>
                <w:sz w:val="20"/>
                <w:szCs w:val="20"/>
              </w:rPr>
              <w:t xml:space="preserve"> 2</w:t>
            </w:r>
            <w:r w:rsidRPr="00A876DE">
              <w:rPr>
                <w:rFonts w:ascii="Calibri" w:hAnsi="Calibri" w:cs="Calibri"/>
                <w:b w:val="0"/>
                <w:i/>
                <w:color w:val="808080" w:themeColor="background1" w:themeShade="80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 w:val="0"/>
                <w:i/>
                <w:color w:val="808080" w:themeColor="background1" w:themeShade="80"/>
                <w:sz w:val="20"/>
                <w:szCs w:val="20"/>
              </w:rPr>
              <w:t xml:space="preserve">Financial Assistance for 1 infant – 50% tuition discount for two months to parent who has reduced work hours due to COVID and is seeking new employment. Their income is below the self-sufficiency wage. </w:t>
            </w:r>
          </w:p>
        </w:tc>
        <w:tc>
          <w:tcPr>
            <w:tcW w:w="1535" w:type="pct"/>
            <w:tcBorders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F23A2B" w:rsidRPr="00A876DE" w:rsidRDefault="00F23A2B" w:rsidP="00E46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</w:pPr>
            <w:r w:rsidRPr="00A876DE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 xml:space="preserve"> 1,2</w:t>
            </w:r>
            <w:r w:rsidRPr="00A876DE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00.00</w:t>
            </w:r>
          </w:p>
        </w:tc>
      </w:tr>
      <w:tr w:rsidR="00F23A2B" w:rsidRPr="00F96D76" w:rsidTr="00A8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pct"/>
            <w:tcBorders>
              <w:bottom w:val="single" w:sz="12" w:space="0" w:color="BFBFBF" w:themeColor="background1" w:themeShade="BF"/>
            </w:tcBorders>
            <w:shd w:val="clear" w:color="auto" w:fill="FFFFFF" w:themeFill="background1"/>
            <w:noWrap/>
          </w:tcPr>
          <w:p w:rsidR="00F23A2B" w:rsidRPr="00A876DE" w:rsidRDefault="00F23A2B" w:rsidP="00F23A2B">
            <w:pPr>
              <w:rPr>
                <w:rFonts w:ascii="Calibri" w:hAnsi="Calibri" w:cs="Calibri"/>
                <w:b w:val="0"/>
                <w:i/>
                <w:color w:val="808080" w:themeColor="background1" w:themeShade="80"/>
                <w:sz w:val="20"/>
                <w:szCs w:val="20"/>
              </w:rPr>
            </w:pPr>
            <w:r w:rsidRPr="00A876DE">
              <w:rPr>
                <w:rFonts w:ascii="Calibri" w:hAnsi="Calibri" w:cs="Calibri"/>
                <w:b w:val="0"/>
                <w:i/>
                <w:color w:val="808080" w:themeColor="background1" w:themeShade="80"/>
                <w:sz w:val="20"/>
                <w:szCs w:val="20"/>
              </w:rPr>
              <w:t>Example</w:t>
            </w:r>
            <w:r>
              <w:rPr>
                <w:rFonts w:ascii="Calibri" w:hAnsi="Calibri" w:cs="Calibri"/>
                <w:b w:val="0"/>
                <w:i/>
                <w:color w:val="808080" w:themeColor="background1" w:themeShade="80"/>
                <w:sz w:val="20"/>
                <w:szCs w:val="20"/>
              </w:rPr>
              <w:t xml:space="preserve"> 3</w:t>
            </w:r>
            <w:r w:rsidRPr="00A876DE">
              <w:rPr>
                <w:rFonts w:ascii="Calibri" w:hAnsi="Calibri" w:cs="Calibri"/>
                <w:b w:val="0"/>
                <w:i/>
                <w:color w:val="808080" w:themeColor="background1" w:themeShade="80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 w:val="0"/>
                <w:i/>
                <w:color w:val="808080" w:themeColor="background1" w:themeShade="80"/>
                <w:sz w:val="20"/>
                <w:szCs w:val="20"/>
              </w:rPr>
              <w:t>Personnel Cost – 1 FTE Youth Coordinator to support 9 school-aged children in a community center @ $14/</w:t>
            </w:r>
            <w:proofErr w:type="spellStart"/>
            <w:r>
              <w:rPr>
                <w:rFonts w:ascii="Calibri" w:hAnsi="Calibri" w:cs="Calibri"/>
                <w:b w:val="0"/>
                <w:i/>
                <w:color w:val="808080" w:themeColor="background1" w:themeShade="80"/>
                <w:sz w:val="20"/>
                <w:szCs w:val="20"/>
              </w:rPr>
              <w:t>hr</w:t>
            </w:r>
            <w:proofErr w:type="spellEnd"/>
            <w:r>
              <w:rPr>
                <w:rFonts w:ascii="Calibri" w:hAnsi="Calibri" w:cs="Calibri"/>
                <w:b w:val="0"/>
                <w:i/>
                <w:color w:val="808080" w:themeColor="background1" w:themeShade="80"/>
                <w:sz w:val="20"/>
                <w:szCs w:val="20"/>
              </w:rPr>
              <w:t xml:space="preserve"> x 8 weeks x 25 </w:t>
            </w:r>
            <w:proofErr w:type="spellStart"/>
            <w:r>
              <w:rPr>
                <w:rFonts w:ascii="Calibri" w:hAnsi="Calibri" w:cs="Calibri"/>
                <w:b w:val="0"/>
                <w:i/>
                <w:color w:val="808080" w:themeColor="background1" w:themeShade="80"/>
                <w:sz w:val="20"/>
                <w:szCs w:val="20"/>
              </w:rPr>
              <w:t>hrs</w:t>
            </w:r>
            <w:proofErr w:type="spellEnd"/>
            <w:r>
              <w:rPr>
                <w:rFonts w:ascii="Calibri" w:hAnsi="Calibri" w:cs="Calibri"/>
                <w:b w:val="0"/>
                <w:i/>
                <w:color w:val="808080" w:themeColor="background1" w:themeShade="80"/>
                <w:sz w:val="20"/>
                <w:szCs w:val="20"/>
              </w:rPr>
              <w:t>/week</w:t>
            </w:r>
          </w:p>
        </w:tc>
        <w:tc>
          <w:tcPr>
            <w:tcW w:w="1535" w:type="pct"/>
            <w:tcBorders>
              <w:bottom w:val="single" w:sz="12" w:space="0" w:color="BFBFBF" w:themeColor="background1" w:themeShade="BF"/>
            </w:tcBorders>
            <w:shd w:val="clear" w:color="auto" w:fill="FFFFFF" w:themeFill="background1"/>
          </w:tcPr>
          <w:p w:rsidR="00F23A2B" w:rsidRPr="00A876DE" w:rsidRDefault="00F23A2B" w:rsidP="00E4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$2,800.00</w:t>
            </w:r>
          </w:p>
        </w:tc>
      </w:tr>
      <w:tr w:rsidR="00A876DE" w:rsidRPr="00F96D76" w:rsidTr="00A876DE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pct"/>
            <w:shd w:val="clear" w:color="auto" w:fill="D9D9D9" w:themeFill="background1" w:themeFillShade="D9"/>
            <w:noWrap/>
            <w:hideMark/>
          </w:tcPr>
          <w:p w:rsidR="00F96D76" w:rsidRPr="00F96D76" w:rsidRDefault="00F96D76" w:rsidP="00950303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96D76">
              <w:rPr>
                <w:rFonts w:ascii="Calibri" w:hAnsi="Calibri" w:cs="Calibri"/>
                <w:b w:val="0"/>
                <w:sz w:val="20"/>
                <w:szCs w:val="20"/>
              </w:rPr>
              <w:t>1.</w:t>
            </w:r>
          </w:p>
        </w:tc>
        <w:tc>
          <w:tcPr>
            <w:tcW w:w="1535" w:type="pct"/>
            <w:shd w:val="clear" w:color="auto" w:fill="D9D9D9" w:themeFill="background1" w:themeFillShade="D9"/>
          </w:tcPr>
          <w:p w:rsidR="00F96D76" w:rsidRPr="00F96D76" w:rsidRDefault="00F96D76" w:rsidP="00950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96D76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A876DE" w:rsidRPr="00F96D76" w:rsidTr="00A8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pct"/>
            <w:tcBorders>
              <w:bottom w:val="single" w:sz="12" w:space="0" w:color="BFBFBF" w:themeColor="background1" w:themeShade="BF"/>
            </w:tcBorders>
            <w:shd w:val="clear" w:color="auto" w:fill="FFFFFF" w:themeFill="background1"/>
            <w:noWrap/>
            <w:hideMark/>
          </w:tcPr>
          <w:p w:rsidR="00F96D76" w:rsidRPr="00F96D76" w:rsidRDefault="00F96D76" w:rsidP="00950303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96D76">
              <w:rPr>
                <w:rFonts w:ascii="Calibri" w:hAnsi="Calibri" w:cs="Calibri"/>
                <w:b w:val="0"/>
                <w:sz w:val="20"/>
                <w:szCs w:val="20"/>
              </w:rPr>
              <w:t>2.</w:t>
            </w:r>
          </w:p>
        </w:tc>
        <w:tc>
          <w:tcPr>
            <w:tcW w:w="1535" w:type="pct"/>
            <w:tcBorders>
              <w:bottom w:val="single" w:sz="12" w:space="0" w:color="BFBFBF" w:themeColor="background1" w:themeShade="BF"/>
            </w:tcBorders>
            <w:shd w:val="clear" w:color="auto" w:fill="FFFFFF" w:themeFill="background1"/>
          </w:tcPr>
          <w:p w:rsidR="00F96D76" w:rsidRPr="00F96D76" w:rsidRDefault="00F96D76" w:rsidP="0095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96D76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A876DE" w:rsidRPr="00F96D76" w:rsidTr="00A876DE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pct"/>
            <w:shd w:val="clear" w:color="auto" w:fill="D9D9D9" w:themeFill="background1" w:themeFillShade="D9"/>
            <w:noWrap/>
            <w:hideMark/>
          </w:tcPr>
          <w:p w:rsidR="00F96D76" w:rsidRPr="00F96D76" w:rsidRDefault="00F96D76" w:rsidP="00950303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96D76">
              <w:rPr>
                <w:rFonts w:ascii="Calibri" w:hAnsi="Calibri" w:cs="Calibri"/>
                <w:b w:val="0"/>
                <w:sz w:val="20"/>
                <w:szCs w:val="20"/>
              </w:rPr>
              <w:t>3.</w:t>
            </w:r>
          </w:p>
        </w:tc>
        <w:tc>
          <w:tcPr>
            <w:tcW w:w="1535" w:type="pct"/>
            <w:shd w:val="clear" w:color="auto" w:fill="D9D9D9" w:themeFill="background1" w:themeFillShade="D9"/>
          </w:tcPr>
          <w:p w:rsidR="00F96D76" w:rsidRPr="00F96D76" w:rsidRDefault="00F96D76" w:rsidP="00950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96D76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A876DE" w:rsidRPr="00F96D76" w:rsidTr="00A8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pct"/>
            <w:tcBorders>
              <w:bottom w:val="single" w:sz="12" w:space="0" w:color="BFBFBF" w:themeColor="background1" w:themeShade="BF"/>
            </w:tcBorders>
            <w:shd w:val="clear" w:color="auto" w:fill="FFFFFF" w:themeFill="background1"/>
            <w:noWrap/>
            <w:hideMark/>
          </w:tcPr>
          <w:p w:rsidR="00F96D76" w:rsidRPr="00F96D76" w:rsidRDefault="00F96D76" w:rsidP="00950303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96D76">
              <w:rPr>
                <w:rFonts w:ascii="Calibri" w:hAnsi="Calibri" w:cs="Calibri"/>
                <w:b w:val="0"/>
                <w:sz w:val="20"/>
                <w:szCs w:val="20"/>
              </w:rPr>
              <w:t>4.</w:t>
            </w:r>
          </w:p>
        </w:tc>
        <w:tc>
          <w:tcPr>
            <w:tcW w:w="1535" w:type="pct"/>
            <w:tcBorders>
              <w:bottom w:val="single" w:sz="12" w:space="0" w:color="BFBFBF" w:themeColor="background1" w:themeShade="BF"/>
            </w:tcBorders>
            <w:shd w:val="clear" w:color="auto" w:fill="FFFFFF" w:themeFill="background1"/>
          </w:tcPr>
          <w:p w:rsidR="00F96D76" w:rsidRPr="00F96D76" w:rsidRDefault="00F96D76" w:rsidP="0095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96D76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A876DE" w:rsidRPr="00F96D76" w:rsidTr="00A876DE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pct"/>
            <w:shd w:val="clear" w:color="auto" w:fill="D9D9D9" w:themeFill="background1" w:themeFillShade="D9"/>
            <w:noWrap/>
            <w:hideMark/>
          </w:tcPr>
          <w:p w:rsidR="00F96D76" w:rsidRPr="00F96D76" w:rsidRDefault="00F96D76" w:rsidP="00950303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96D76">
              <w:rPr>
                <w:rFonts w:ascii="Calibri" w:hAnsi="Calibri" w:cs="Calibri"/>
                <w:b w:val="0"/>
                <w:sz w:val="20"/>
                <w:szCs w:val="20"/>
              </w:rPr>
              <w:t>5.</w:t>
            </w:r>
          </w:p>
        </w:tc>
        <w:tc>
          <w:tcPr>
            <w:tcW w:w="1535" w:type="pct"/>
            <w:shd w:val="clear" w:color="auto" w:fill="D9D9D9" w:themeFill="background1" w:themeFillShade="D9"/>
          </w:tcPr>
          <w:p w:rsidR="00F96D76" w:rsidRPr="00F96D76" w:rsidRDefault="00F96D76" w:rsidP="00950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96D76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A876DE" w:rsidRPr="00F96D76" w:rsidTr="00A8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pct"/>
            <w:tcBorders>
              <w:bottom w:val="single" w:sz="12" w:space="0" w:color="BFBFBF" w:themeColor="background1" w:themeShade="BF"/>
            </w:tcBorders>
            <w:shd w:val="clear" w:color="auto" w:fill="FFFFFF" w:themeFill="background1"/>
            <w:noWrap/>
            <w:hideMark/>
          </w:tcPr>
          <w:p w:rsidR="00F96D76" w:rsidRPr="00F96D76" w:rsidRDefault="00F96D76" w:rsidP="00950303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96D76">
              <w:rPr>
                <w:rFonts w:ascii="Calibri" w:hAnsi="Calibri" w:cs="Calibri"/>
                <w:b w:val="0"/>
                <w:sz w:val="20"/>
                <w:szCs w:val="20"/>
              </w:rPr>
              <w:t>6.</w:t>
            </w:r>
          </w:p>
        </w:tc>
        <w:tc>
          <w:tcPr>
            <w:tcW w:w="1535" w:type="pct"/>
            <w:tcBorders>
              <w:bottom w:val="single" w:sz="12" w:space="0" w:color="BFBFBF" w:themeColor="background1" w:themeShade="BF"/>
            </w:tcBorders>
            <w:shd w:val="clear" w:color="auto" w:fill="FFFFFF" w:themeFill="background1"/>
          </w:tcPr>
          <w:p w:rsidR="00F96D76" w:rsidRPr="00F96D76" w:rsidRDefault="00F96D76" w:rsidP="0095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96D76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A876DE" w:rsidRPr="00F96D76" w:rsidTr="00A876DE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pct"/>
            <w:shd w:val="clear" w:color="auto" w:fill="D9D9D9" w:themeFill="background1" w:themeFillShade="D9"/>
            <w:noWrap/>
            <w:hideMark/>
          </w:tcPr>
          <w:p w:rsidR="00F96D76" w:rsidRPr="00F96D76" w:rsidRDefault="00F96D76" w:rsidP="00950303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96D76">
              <w:rPr>
                <w:rFonts w:ascii="Calibri" w:hAnsi="Calibri" w:cs="Calibri"/>
                <w:b w:val="0"/>
                <w:sz w:val="20"/>
                <w:szCs w:val="20"/>
              </w:rPr>
              <w:t>7.</w:t>
            </w:r>
          </w:p>
        </w:tc>
        <w:tc>
          <w:tcPr>
            <w:tcW w:w="1535" w:type="pct"/>
            <w:shd w:val="clear" w:color="auto" w:fill="D9D9D9" w:themeFill="background1" w:themeFillShade="D9"/>
          </w:tcPr>
          <w:p w:rsidR="00F96D76" w:rsidRPr="00F96D76" w:rsidRDefault="00F96D76" w:rsidP="00950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96D76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A876DE" w:rsidRPr="00F96D76" w:rsidTr="00A8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pct"/>
            <w:tcBorders>
              <w:bottom w:val="single" w:sz="12" w:space="0" w:color="BFBFBF" w:themeColor="background1" w:themeShade="BF"/>
            </w:tcBorders>
            <w:shd w:val="clear" w:color="auto" w:fill="FFFFFF" w:themeFill="background1"/>
            <w:noWrap/>
            <w:hideMark/>
          </w:tcPr>
          <w:p w:rsidR="00F96D76" w:rsidRPr="00F96D76" w:rsidRDefault="00F96D76" w:rsidP="00950303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96D76">
              <w:rPr>
                <w:rFonts w:ascii="Calibri" w:hAnsi="Calibri" w:cs="Calibri"/>
                <w:b w:val="0"/>
                <w:sz w:val="20"/>
                <w:szCs w:val="20"/>
              </w:rPr>
              <w:t>8.</w:t>
            </w:r>
          </w:p>
        </w:tc>
        <w:tc>
          <w:tcPr>
            <w:tcW w:w="1535" w:type="pct"/>
            <w:tcBorders>
              <w:bottom w:val="single" w:sz="12" w:space="0" w:color="BFBFBF" w:themeColor="background1" w:themeShade="BF"/>
            </w:tcBorders>
            <w:shd w:val="clear" w:color="auto" w:fill="FFFFFF" w:themeFill="background1"/>
          </w:tcPr>
          <w:p w:rsidR="00F96D76" w:rsidRPr="00F96D76" w:rsidRDefault="00F96D76" w:rsidP="0095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96D76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A876DE" w:rsidRPr="00F96D76" w:rsidTr="00A876DE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pct"/>
            <w:shd w:val="clear" w:color="auto" w:fill="D9D9D9" w:themeFill="background1" w:themeFillShade="D9"/>
            <w:noWrap/>
            <w:hideMark/>
          </w:tcPr>
          <w:p w:rsidR="00F96D76" w:rsidRPr="00F96D76" w:rsidRDefault="00F96D76" w:rsidP="00950303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96D76">
              <w:rPr>
                <w:rFonts w:ascii="Calibri" w:hAnsi="Calibri" w:cs="Calibri"/>
                <w:b w:val="0"/>
                <w:sz w:val="20"/>
                <w:szCs w:val="20"/>
              </w:rPr>
              <w:t>9.</w:t>
            </w:r>
          </w:p>
        </w:tc>
        <w:tc>
          <w:tcPr>
            <w:tcW w:w="1535" w:type="pct"/>
            <w:shd w:val="clear" w:color="auto" w:fill="D9D9D9" w:themeFill="background1" w:themeFillShade="D9"/>
          </w:tcPr>
          <w:p w:rsidR="00F96D76" w:rsidRPr="00F96D76" w:rsidRDefault="00F96D76" w:rsidP="00950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96D76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A876DE" w:rsidRPr="00F96D76" w:rsidTr="00A8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pct"/>
            <w:tcBorders>
              <w:bottom w:val="single" w:sz="12" w:space="0" w:color="BFBFBF" w:themeColor="background1" w:themeShade="BF"/>
            </w:tcBorders>
            <w:shd w:val="clear" w:color="auto" w:fill="FFFFFF" w:themeFill="background1"/>
            <w:noWrap/>
            <w:hideMark/>
          </w:tcPr>
          <w:p w:rsidR="00F96D76" w:rsidRPr="00F96D76" w:rsidRDefault="00F96D76" w:rsidP="00950303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96D76">
              <w:rPr>
                <w:rFonts w:ascii="Calibri" w:hAnsi="Calibri" w:cs="Calibri"/>
                <w:b w:val="0"/>
                <w:sz w:val="20"/>
                <w:szCs w:val="20"/>
              </w:rPr>
              <w:t>10.</w:t>
            </w:r>
          </w:p>
        </w:tc>
        <w:tc>
          <w:tcPr>
            <w:tcW w:w="1535" w:type="pct"/>
            <w:tcBorders>
              <w:bottom w:val="single" w:sz="12" w:space="0" w:color="BFBFBF" w:themeColor="background1" w:themeShade="BF"/>
            </w:tcBorders>
            <w:shd w:val="clear" w:color="auto" w:fill="FFFFFF" w:themeFill="background1"/>
          </w:tcPr>
          <w:p w:rsidR="00F96D76" w:rsidRPr="00F96D76" w:rsidRDefault="00F96D76" w:rsidP="0095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96D76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A876DE" w:rsidRPr="00F96D76" w:rsidTr="00A876DE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pct"/>
            <w:shd w:val="clear" w:color="auto" w:fill="D9D9D9" w:themeFill="background1" w:themeFillShade="D9"/>
            <w:noWrap/>
            <w:hideMark/>
          </w:tcPr>
          <w:p w:rsidR="00F96D76" w:rsidRPr="00DF7F1E" w:rsidRDefault="00DF7F1E" w:rsidP="00950303">
            <w:pPr>
              <w:rPr>
                <w:rFonts w:ascii="Calibri" w:hAnsi="Calibri" w:cs="Calibri"/>
                <w:sz w:val="20"/>
                <w:szCs w:val="20"/>
              </w:rPr>
            </w:pPr>
            <w:r w:rsidRPr="00DF7F1E">
              <w:rPr>
                <w:rFonts w:ascii="Calibri" w:hAnsi="Calibri" w:cs="Calibri"/>
                <w:sz w:val="20"/>
                <w:szCs w:val="20"/>
              </w:rPr>
              <w:t>Total Amount Requested</w:t>
            </w:r>
          </w:p>
        </w:tc>
        <w:tc>
          <w:tcPr>
            <w:tcW w:w="1535" w:type="pct"/>
            <w:shd w:val="clear" w:color="auto" w:fill="D9D9D9" w:themeFill="background1" w:themeFillShade="D9"/>
          </w:tcPr>
          <w:p w:rsidR="00F96D76" w:rsidRPr="00F96D76" w:rsidRDefault="00F96D76" w:rsidP="00950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96D76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</w:tbl>
    <w:p w:rsidR="00F96D76" w:rsidRPr="00F96D76" w:rsidRDefault="00F96D76" w:rsidP="00F96D76">
      <w:pPr>
        <w:spacing w:after="0" w:line="240" w:lineRule="auto"/>
        <w:rPr>
          <w:sz w:val="20"/>
          <w:szCs w:val="20"/>
        </w:rPr>
      </w:pPr>
    </w:p>
    <w:sectPr w:rsidR="00F96D76" w:rsidRPr="00F96D76" w:rsidSect="00F96D7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76"/>
    <w:rsid w:val="0015219D"/>
    <w:rsid w:val="002B29E5"/>
    <w:rsid w:val="00A876DE"/>
    <w:rsid w:val="00B11BBF"/>
    <w:rsid w:val="00DF7F1E"/>
    <w:rsid w:val="00E465B8"/>
    <w:rsid w:val="00F23A2B"/>
    <w:rsid w:val="00F9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7A2BC"/>
  <w15:chartTrackingRefBased/>
  <w15:docId w15:val="{DF8D950B-30A4-43F9-9688-082E83E6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D76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D76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8"/>
    </w:rPr>
  </w:style>
  <w:style w:type="table" w:styleId="ListTable2-Accent2">
    <w:name w:val="List Table 2 Accent 2"/>
    <w:basedOn w:val="TableNormal"/>
    <w:uiPriority w:val="47"/>
    <w:rsid w:val="00F96D76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Leary</dc:creator>
  <cp:keywords/>
  <dc:description/>
  <cp:lastModifiedBy>Lauren Leary</cp:lastModifiedBy>
  <cp:revision>6</cp:revision>
  <dcterms:created xsi:type="dcterms:W3CDTF">2020-10-21T20:27:00Z</dcterms:created>
  <dcterms:modified xsi:type="dcterms:W3CDTF">2020-10-27T22:11:00Z</dcterms:modified>
</cp:coreProperties>
</file>